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E" w:rsidRDefault="00E6744E" w:rsidP="00E6744E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Приказ Минсельхоза РФ от 4 мая 2010 г. N 150 "Об утверждении Порядка государственного учета показателей состояния плодородия земель сельскохозяйственного назначения" </w:t>
      </w:r>
      <w:bookmarkStart w:id="0" w:name="_GoBack"/>
      <w:bookmarkEnd w:id="0"/>
    </w:p>
    <w:p w:rsidR="00E6744E" w:rsidRDefault="00E6744E" w:rsidP="00E6744E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27 июля 2010</w:t>
      </w:r>
    </w:p>
    <w:bookmarkStart w:id="1" w:name="0"/>
    <w:bookmarkEnd w:id="1"/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"http://www.garant.ru/products/ipo/prime/doc/12077384/" \l "12077384"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2060A4"/>
          <w:sz w:val="23"/>
          <w:szCs w:val="23"/>
          <w:bdr w:val="none" w:sz="0" w:space="0" w:color="auto" w:frame="1"/>
        </w:rPr>
        <w:t>Справка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В целях реализации положений статьи 15 Федерального закона от 16 июля 1998 г. N 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 29, ст. 3399; 2003, N 2, ст. 167; 2004, N 35, ст. 3607; 2008, N 30 (ч. 2), ст. 3616; 2009, N 1, ст. 17, ст. 21) приказываю: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Утвердить прилагаемый</w:t>
      </w:r>
      <w:r>
        <w:rPr>
          <w:rStyle w:val="apple-converted-space"/>
          <w:rFonts w:ascii="Arial" w:eastAsiaTheme="majorEastAsia" w:hAnsi="Arial" w:cs="Arial"/>
          <w:color w:val="333333"/>
          <w:sz w:val="23"/>
          <w:szCs w:val="23"/>
        </w:rPr>
        <w:t> </w:t>
      </w:r>
      <w:hyperlink r:id="rId5" w:anchor="1000" w:history="1">
        <w:r>
          <w:rPr>
            <w:rStyle w:val="a4"/>
            <w:rFonts w:ascii="Arial" w:hAnsi="Arial" w:cs="Arial"/>
            <w:color w:val="2060A4"/>
            <w:sz w:val="23"/>
            <w:szCs w:val="23"/>
            <w:bdr w:val="none" w:sz="0" w:space="0" w:color="auto" w:frame="1"/>
          </w:rPr>
          <w:t>Порядок</w:t>
        </w:r>
      </w:hyperlink>
      <w:r>
        <w:rPr>
          <w:rStyle w:val="apple-converted-space"/>
          <w:rFonts w:ascii="Arial" w:eastAsiaTheme="majorEastAsia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 xml:space="preserve">государственного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учета показателей состояния плодородия земель сельскохозяйственного назначения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Настоящий приказ вступает в действие после признания утратившим силу постановления Правительства Российской Федерации от 1 марта 2001 г. N 154 "Об утверждении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Правил государственного учета показателей состояния плодородия земель сельскохозяйственного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назначения" (Собрание законодательства Российской Федерации, 2001, N 10, ст. 963).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181"/>
      </w:tblGrid>
      <w:tr w:rsidR="00E6744E" w:rsidTr="00E6744E">
        <w:tc>
          <w:tcPr>
            <w:tcW w:w="2500" w:type="pct"/>
            <w:hideMark/>
          </w:tcPr>
          <w:p w:rsidR="00E6744E" w:rsidRDefault="00E6744E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E6744E" w:rsidRDefault="00E6744E">
            <w:pPr>
              <w:rPr>
                <w:sz w:val="24"/>
                <w:szCs w:val="24"/>
              </w:rPr>
            </w:pPr>
            <w:r>
              <w:t>Е. </w:t>
            </w:r>
            <w:proofErr w:type="spellStart"/>
            <w:r>
              <w:t>Скрынник</w:t>
            </w:r>
            <w:proofErr w:type="spellEnd"/>
          </w:p>
        </w:tc>
      </w:tr>
    </w:tbl>
    <w:p w:rsidR="00E6744E" w:rsidRDefault="00E6744E" w:rsidP="00E6744E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15 июля 2010 г.</w:t>
      </w:r>
    </w:p>
    <w:p w:rsidR="00E6744E" w:rsidRDefault="00E6744E" w:rsidP="00E6744E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Регистрационный N 17846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  <w:r>
        <w:rPr>
          <w:rFonts w:ascii="Arial" w:hAnsi="Arial" w:cs="Arial"/>
          <w:color w:val="333333"/>
          <w:sz w:val="23"/>
          <w:szCs w:val="23"/>
        </w:rPr>
        <w:br/>
        <w:t>к</w:t>
      </w:r>
      <w:r>
        <w:rPr>
          <w:rStyle w:val="apple-converted-space"/>
          <w:rFonts w:ascii="Arial" w:eastAsiaTheme="majorEastAsia" w:hAnsi="Arial" w:cs="Arial"/>
          <w:color w:val="333333"/>
          <w:sz w:val="23"/>
          <w:szCs w:val="23"/>
        </w:rPr>
        <w:t> </w:t>
      </w:r>
      <w:hyperlink r:id="rId6" w:anchor="0" w:history="1">
        <w:r>
          <w:rPr>
            <w:rStyle w:val="a4"/>
            <w:rFonts w:ascii="Arial" w:hAnsi="Arial" w:cs="Arial"/>
            <w:color w:val="2060A4"/>
            <w:sz w:val="23"/>
            <w:szCs w:val="23"/>
            <w:bdr w:val="none" w:sz="0" w:space="0" w:color="auto" w:frame="1"/>
          </w:rPr>
          <w:t>приказу</w:t>
        </w:r>
      </w:hyperlink>
      <w:r>
        <w:rPr>
          <w:rStyle w:val="apple-converted-space"/>
          <w:rFonts w:ascii="Arial" w:eastAsiaTheme="majorEastAsia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Минсельхоза РФ</w:t>
      </w:r>
      <w:r>
        <w:rPr>
          <w:rFonts w:ascii="Arial" w:hAnsi="Arial" w:cs="Arial"/>
          <w:color w:val="333333"/>
          <w:sz w:val="23"/>
          <w:szCs w:val="23"/>
        </w:rPr>
        <w:br/>
        <w:t>от 4 мая 2010 г. N 150</w:t>
      </w:r>
    </w:p>
    <w:p w:rsidR="00E6744E" w:rsidRDefault="00E6744E" w:rsidP="00E6744E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Порядок</w:t>
      </w:r>
      <w:r>
        <w:rPr>
          <w:rFonts w:ascii="Arial" w:hAnsi="Arial" w:cs="Arial"/>
          <w:color w:val="333333"/>
          <w:sz w:val="26"/>
          <w:szCs w:val="26"/>
        </w:rPr>
        <w:br/>
        <w:t xml:space="preserve">государственного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учета показателей состояния плодородия земель сельскохозяйственного назначения</w:t>
      </w:r>
      <w:proofErr w:type="gramEnd"/>
    </w:p>
    <w:p w:rsidR="00E6744E" w:rsidRDefault="00E6744E" w:rsidP="00E6744E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Общие положения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Настоящий порядок разработан в соответствии с Федеральным законом от 16 июля 1998 г. N 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 29, ст. 3399; 2003, N 2, ст. 167; 2004, N 35, ст. 3607; 2008, N 30 (ч. 2), ст. 3616; 2009, N 1, ст. 17, ст. 21;)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определяет порядок государственного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учета показателей состояния плодородия земель сельскохозяйственного назначения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 Государственный учет показателей состояния плодородия земель сельскохозяйственного назначения (далее - учет показателей) включает в себя сбор и обобщение результатов почвенного, агрохимического, фитосанитарного и эколого-токсикологического обследований земель сельскохозяйственного назначения.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1.3. Учет показателей проводится в целях обеспечения органов государственной власти Российской Федерации, органов государственной власти субъектов </w:t>
      </w:r>
      <w:r>
        <w:rPr>
          <w:rFonts w:ascii="Arial" w:hAnsi="Arial" w:cs="Arial"/>
          <w:color w:val="333333"/>
          <w:sz w:val="23"/>
          <w:szCs w:val="23"/>
        </w:rPr>
        <w:lastRenderedPageBreak/>
        <w:t>Российской Федерации, органов местного самоуправления, заинтересованных граждан и юридических лиц информацией о состоянии плодородия указанных земель.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Учет показателей плодородия проводится в целях: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формирования полной и достоверной информации о состоянии и динамике плодородия земель сельскохозяйственного назначения;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выявления отрицательных результатов хозяйственной деятельности на землях сельскохозяйственного назначения;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выявления резервов обеспечения устойчивости сельскохозяйственного производства;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обеспечения формирования государственного информационного ресурса о состоянии земель сельскохозяйственного назначения в части показателей их плодородия;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1.4. Учет показателей проводится федеральными государственными учреждениями центрами и станциями агрохимической службы и федеральными государственными учреждениями центрами химизации и сельскохозяйственной радиологии, подведомственными Минсельхозу России (далее - учреждениями), на основе учетных данных, полученных при проведении обследований.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1.5. Учет показателей проводится в соответствии со следующими показателями: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общие показатели (1 раз в 15 лет):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название почвы, включая почвообразующую породу;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мощность гумусового горизонта,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уклоны поверхности, °/градус;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физические и химические показатели: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органического вещества в пахотном горизонте, %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кислотность-щелочность (*) (1раз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кислотность-щелочность (*)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гидролитическая кислотность,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мг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.э</w:t>
      </w:r>
      <w:proofErr w:type="gramEnd"/>
      <w:r>
        <w:rPr>
          <w:rFonts w:ascii="Arial" w:hAnsi="Arial" w:cs="Arial"/>
          <w:color w:val="333333"/>
          <w:sz w:val="23"/>
          <w:szCs w:val="23"/>
        </w:rPr>
        <w:t>кв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./100 г почвы, для почв с *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подвижного фосфора, мг/кг почвы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обменного калия, мг/кг почвы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минеральных форм азота, мг/кг почвы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макро и микроэлементов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S, В), мг/кг почвы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содержание водорастворимых солей (% токсичных солей в зависимости от типа засоления), для засоленных почв и территорий с опасностью засоления (1 раз в 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содержание обменного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(% от ЕКО) для солонцового горизонта (1 раз в 5 лет);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емкость катионного обмена (ЕКО - мг-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экв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/100 г почвы)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степень насыщенности основаниями, %, для почв с *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гранулометрический состав, % ила (частицы &lt; 0,001 мм), % физической глины (частицы &lt; 0,01 мм)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агрегированность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%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предельная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полевая (наименьшая) влагоемкость, объемные, %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равновесная плотность почвы по основным горизонтам до 1 метра, * (1 раз в 15 лет);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показатели загрязнения почв (1 раз в 5 лет):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подвижных форм тяжелых металлов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Pb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мг/кг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остаточных количеств пестицидов, мг/кг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содержание нефти и нефтепродуктов, мг/кг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мощность экспозиционной дозы,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мкР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/ч; Содержание *, и *, Бк/кг; плотность загрязнения *, *, * (*);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показатели негативных процессов (1 раз в 15 лет):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доля эродированных почв с учетом распределения по категориям, %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доля засоленных почв с учетом распределения по категориям степени и глубины засоления, %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доля солонцов и солонцеватых почв с учетом распределения по категориям, %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доля переувлажненных почв с учетом распределения по категориям глубины залегания уровня грунтовых вод, %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каменистость, % покрытия поверхности почвы камнями размером *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мощность мелкозема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>) для горных и предгорных районов с залеганием плотных пород на глубине менее 2 метров;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дополнительные показатели для почв неиспользуемых земель (1 раз в 5 лет):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закустаренность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>, %;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залесенность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>, %;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зарастание сорняками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, %;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е) биологическая активность: определение микробиологической активности (1 раз в 5 лет).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1.6.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Учет показателей плодородия осуществляется учреждениями по каждому земельному участку, однородному по типу почв, занятому однородной растительностью в разрезе сельскохозяйственных угодий, установленных статьей 79 Земельного кодекса Российской Федерации, на основании годового задания, устанавливаемого Департаментом растениеводства, химизации и защиты растений (далее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Депрастениеводство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по согласованию с Департаментом экономики и анализа (далее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Депэкономика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 для каждого учреждения.</w:t>
      </w:r>
      <w:proofErr w:type="gramEnd"/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1.7.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Депрастениеводство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утверждает годовое задание до 30 января текущего года.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1.8. Учет показателей плодородия осуществляется учреждениями согласно перечню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показателей состояния плодородия земель сельскохозяйственного назначения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периодичностью их уточнения в соответствии с Приложением к настоящему Порядку.</w:t>
      </w:r>
    </w:p>
    <w:p w:rsidR="00E6744E" w:rsidRDefault="00E6744E" w:rsidP="00E6744E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Организационная схема учета показателей плодородия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2.1. Учреждения ведут и обновляют первичную документацию по учету показателей плодородия путем ежегодной обработки результатов обследований, а также формирования и ведения первичной базы данных.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2.2.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Депэкономика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обеспечивает автоматизированный сбор, обработку информации, формирование государственного информационного ресурса состояния земель сельскохозяйственного назначения в части показателей состояния плодородия земель сельскохозяйственного назначения и обеспечивает авторизованный доступ к информации пользователям.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2.3.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Депрастениеводство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использует информацию в целях ведения реестра плодородия почв.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2.4. Учреждения представляют в Минсельхоз России учетную документацию по показателям плодородия на электронных и бумажных носителях.</w:t>
      </w:r>
    </w:p>
    <w:p w:rsidR="00E6744E" w:rsidRDefault="00E6744E" w:rsidP="00E6744E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3. Хранение и архивирование данных учета показателей плодородия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 Первичная учетная документация по учету показателей плодородия (далее - первичная документация) подлежит постоянному хранению и архивированию в учреждениях.</w:t>
      </w:r>
    </w:p>
    <w:p w:rsidR="00E6744E" w:rsidRDefault="00E6744E" w:rsidP="00E6744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Обязательным условием хранения и архивирования первичной документации по учету показателей плодородия является возможность внесения изменений или дополнений в первичную документацию при условии сохранения исходного состояния учетных данных или возможности восстановления такого состояния на основе регистрации каждого учетного события в специальном журнале регистрации учетных событий.</w:t>
      </w:r>
    </w:p>
    <w:p w:rsidR="00E6744E" w:rsidRDefault="005063E4" w:rsidP="00E6744E">
      <w:pPr>
        <w:shd w:val="clear" w:color="auto" w:fill="FFFFFF"/>
        <w:spacing w:before="255" w:after="25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pict>
          <v:rect id="_x0000_i1025" style="width:0;height:.75pt" o:hralign="center" o:hrstd="t" o:hrnoshade="t" o:hr="t" fillcolor="#a0a0a0" stroked="f"/>
        </w:pict>
      </w:r>
    </w:p>
    <w:sectPr w:rsidR="00E6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44"/>
    <w:rsid w:val="000F0F44"/>
    <w:rsid w:val="005063E4"/>
    <w:rsid w:val="00632F43"/>
    <w:rsid w:val="006F6DAC"/>
    <w:rsid w:val="00754FF0"/>
    <w:rsid w:val="00E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44E"/>
  </w:style>
  <w:style w:type="character" w:customStyle="1" w:styleId="20">
    <w:name w:val="Заголовок 2 Знак"/>
    <w:basedOn w:val="a0"/>
    <w:link w:val="2"/>
    <w:uiPriority w:val="9"/>
    <w:semiHidden/>
    <w:rsid w:val="00E6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7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6744E"/>
    <w:rPr>
      <w:color w:val="0000FF"/>
      <w:u w:val="single"/>
    </w:rPr>
  </w:style>
  <w:style w:type="paragraph" w:customStyle="1" w:styleId="toleft">
    <w:name w:val="toleft"/>
    <w:basedOn w:val="a"/>
    <w:rsid w:val="00E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44E"/>
  </w:style>
  <w:style w:type="character" w:customStyle="1" w:styleId="20">
    <w:name w:val="Заголовок 2 Знак"/>
    <w:basedOn w:val="a0"/>
    <w:link w:val="2"/>
    <w:uiPriority w:val="9"/>
    <w:semiHidden/>
    <w:rsid w:val="00E6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7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6744E"/>
    <w:rPr>
      <w:color w:val="0000FF"/>
      <w:u w:val="single"/>
    </w:rPr>
  </w:style>
  <w:style w:type="paragraph" w:customStyle="1" w:styleId="toleft">
    <w:name w:val="toleft"/>
    <w:basedOn w:val="a"/>
    <w:rsid w:val="00E6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1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7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77384/" TargetMode="External"/><Relationship Id="rId5" Type="http://schemas.openxmlformats.org/officeDocument/2006/relationships/hyperlink" Target="http://www.garant.ru/products/ipo/prime/doc/120773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6</cp:revision>
  <dcterms:created xsi:type="dcterms:W3CDTF">2017-05-24T11:57:00Z</dcterms:created>
  <dcterms:modified xsi:type="dcterms:W3CDTF">2017-12-07T10:38:00Z</dcterms:modified>
</cp:coreProperties>
</file>